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1" w:rsidRPr="00C62143" w:rsidRDefault="00A207C1" w:rsidP="00A207C1">
      <w:pPr>
        <w:spacing w:after="0" w:line="280" w:lineRule="exact"/>
        <w:ind w:left="1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Обзор оценок со стороны международных</w:t>
      </w:r>
    </w:p>
    <w:p w:rsidR="00A207C1" w:rsidRPr="00C62143" w:rsidRDefault="00A207C1" w:rsidP="00A207C1">
      <w:pPr>
        <w:spacing w:after="0" w:line="280" w:lineRule="exact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экономических и финансовых организаций позитивных тенденций в социально-экономическом развитии</w:t>
      </w:r>
    </w:p>
    <w:p w:rsidR="00A207C1" w:rsidRPr="00C62143" w:rsidRDefault="00A207C1" w:rsidP="00A207C1">
      <w:pPr>
        <w:spacing w:after="0" w:line="280" w:lineRule="exact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Республики Беларусь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квартале 2017 г.</w:t>
      </w:r>
    </w:p>
    <w:p w:rsidR="00A207C1" w:rsidRPr="00C62143" w:rsidRDefault="00A207C1" w:rsidP="00A20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07C1" w:rsidRPr="00C62143" w:rsidRDefault="00A207C1" w:rsidP="00A20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январе 2017 г. опубликован доклад 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Всемирного банка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Global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Economic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Prospects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Аналитики Банка улучшили оценку будущего белорусской экономики. Они полагают, что ВВП в 2017 году снизится на 0,5% (в июне 2016 года называлась цифра снижения в 1%), в 2018 году вырастет на 1,3% (прогнозировалась прибавка в 0,3%),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2019 году увеличится </w:t>
      </w:r>
      <w:proofErr w:type="gram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1,4%.</w:t>
      </w:r>
    </w:p>
    <w:p w:rsidR="00A207C1" w:rsidRPr="00C62143" w:rsidRDefault="00A207C1" w:rsidP="00A20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07C1" w:rsidRPr="00C62143" w:rsidRDefault="00A207C1" w:rsidP="00A20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>Американской неправительственной организацией «</w:t>
      </w:r>
      <w:r w:rsidRPr="00C62143">
        <w:rPr>
          <w:rFonts w:ascii="Times New Roman" w:eastAsia="Times New Roman" w:hAnsi="Times New Roman" w:cs="Times New Roman"/>
          <w:sz w:val="30"/>
          <w:szCs w:val="24"/>
          <w:lang w:val="en-US" w:eastAsia="ru-RU"/>
        </w:rPr>
        <w:t>World</w:t>
      </w: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24"/>
          <w:lang w:val="en-US" w:eastAsia="ru-RU"/>
        </w:rPr>
        <w:t>Justice</w:t>
      </w: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24"/>
          <w:lang w:val="en-US" w:eastAsia="ru-RU"/>
        </w:rPr>
        <w:t>Project</w:t>
      </w: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» подготовлен </w:t>
      </w:r>
      <w:r w:rsidRPr="00C62143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«Индекс верховенства закона за 2016 год»</w:t>
      </w: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. </w:t>
      </w:r>
    </w:p>
    <w:p w:rsidR="00A207C1" w:rsidRPr="00C62143" w:rsidRDefault="00A207C1" w:rsidP="00A2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Индекс разрабатывается ежегодно и предполагает составление рейтингов 113 стран на основании 8 показателей в области правосудия. Беларусь с общим результатом 0,54 заняла 57-е место (4 место из 13 в регионе Восточной Европы и Центральной Азии), поднявшись по сравнению с предыдущим годом на две позиции. Казахстан занял </w:t>
      </w: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br/>
        <w:t xml:space="preserve">73-е место, Молдова – 77-е, Украина – 78-е, Россия – 92-е. Лидирует в рейтинге Дания, последнее место у Венесуэлы. </w:t>
      </w:r>
    </w:p>
    <w:p w:rsidR="00A207C1" w:rsidRPr="00C62143" w:rsidRDefault="00A207C1" w:rsidP="00A2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Наиболее высоких результатов Беларусь достигла по показателям «порядок и безопасность» (29-е место в мире и 2-е в регионе), «гражданское правосудие» (30-е место в мире и 1-е в регионе). </w:t>
      </w:r>
    </w:p>
    <w:p w:rsidR="00A207C1" w:rsidRPr="00C62143" w:rsidRDefault="00A207C1" w:rsidP="00A20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Европейским банком реконструкции и развития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(ЕБРР) в марте 2017 г. подготовлен проект Обзора реализации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страновых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стратегий 2017 (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Country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Strategy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Delivery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Reviews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2017), который будет вынесен на рассмотрение Совета директоров ЕБРР 26 апреля 2017 г. Обзор содержит раздел, посвященный реализации Стратегии ЕБРР для Беларуси на 2016 – 2019 годы.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Формулировки раздела по Беларуси в целом носят сбалансированный характер. </w:t>
      </w:r>
      <w:proofErr w:type="gram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фоне негативных тенденций в экономике, включая падение по итогам 2016 года ВВП на 2,6% и снижение реальной заработной платы на 4%, ЕБРР отмечает положительные аспекты, среди которых – прогресс по устранению макроэкономических дисбалансов, принятие Программы социально-экономического развития Республики Беларусь на 2016 – 2020 гг.,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тарифная реформа в ЖКХ и поддержание Беларусью диалога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международными финансовыми институтами.</w:t>
      </w:r>
      <w:proofErr w:type="gramEnd"/>
    </w:p>
    <w:p w:rsidR="00A207C1" w:rsidRPr="00C62143" w:rsidRDefault="00A207C1" w:rsidP="00A207C1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207C1" w:rsidRPr="00C62143" w:rsidRDefault="00A207C1" w:rsidP="00A2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экономического сотрудничества и развития (ОЭСР) н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заседании своей Рабочей группы по оценке </w:t>
      </w:r>
      <w:proofErr w:type="spell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страновых</w:t>
      </w:r>
      <w:proofErr w:type="spell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рисков в январе 2017 г. приняла решение оставить Беларусь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7-й группе </w:t>
      </w:r>
      <w:r w:rsidRPr="00C621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классификации </w:t>
      </w:r>
      <w:proofErr w:type="spellStart"/>
      <w:r w:rsidRPr="00C621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страновых</w:t>
      </w:r>
      <w:proofErr w:type="spellEnd"/>
      <w:r w:rsidRPr="00C621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кредитных рисков. </w:t>
      </w:r>
    </w:p>
    <w:p w:rsidR="00A207C1" w:rsidRPr="00C62143" w:rsidRDefault="00A207C1" w:rsidP="00A20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вынесено на основании анализа эконометрической модели оценки страховых рисков (рост внешнего долга, увеличение отрицательного сальдо внешней торговли, падение ВВП). Данную оценку готовит Международный валютный фонд.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Программа развития ООН (ПРООН) опубликовала доклад «Развитие человеческого потенциала для каждого» за 2016 год.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 дает сравнительный анализ 188 государств-членов ООН по индексу человеческого развития (ИЧР) на основании базовых компонентов (валовой национальный доход на душу населения, ожидаемая продолжительность жизни и уровень образования).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ИЧР Беларусь заняла 52-е место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footnoteReference w:id="2"/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спустившись на две позиции в рейтинге по причине снижения уровня ВНД на душу населения.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Россия, которая в 2015 году делила с Беларусью 50-е место по ИЧР, за счет улучшения ВНД перешла в категорию стран с очень высоким уровнем человеческого развития.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и в 2015 году, Беларусь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возглавляет группу стран с высоким уровнем человеческого развития и находится на одну позицию ниже, чем Кувейт, который замыкает группу стран с очень высоким уровнем человеческого развития.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показателю «ВНД на душу населения»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Беларусь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15629 долл. США, 16676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долл. США в 2015 году)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занимает 4-е место в СНГ после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Азербайджана (16413 долл. США), Казахстана (22093 долл. США)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Российской Федерации (23286 долл. США)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 год падение ВНД Беларуси составило 1047 долл. США на душу населения, вследствие чего среди стран СНГ Беларусь опустилась с 3-го на 4-е место</w:t>
      </w:r>
      <w:proofErr w:type="gram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Разрыв по уровню ВНД с западными соседями увеличился. ВНД Литвы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(37-е место по уровню ИЧР) составляет 26006 долл. США или на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66% больше ВНД Беларуси, Латвии (44-е место по уровню ИЧР) – 22589 долл. США или на 44,5 % больше ВНД Беларуси, Польши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(36-е место по уровню ИЧР) – 24177 долл. США или на 55 % больше ВНД нашей страны.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 показателю «ожидаемая продолжительность жизни при рождении»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Беларусь (71,5 года,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71,3 года в 2015 году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занимает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  <w:t>2-е место в СНГ, уступая Армении (74,9 года). Беларусь отстает от Латвии (74,3 года), Литвы (73,5 года) и Польши (77,6 года).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Разрыв по этому показателю между женщинами (77,3 года) и мужчинами (65,7 года) в Беларуси составляет 11,6 лет, что значительно больше, чем в государствах-соседях Беларуси и в странах СНГ.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Третья составляющая ИЧР – «уровень образования» – формируется в докладе по двум показателям: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средняя продолжительность обучения</w:t>
      </w:r>
      <w:r w:rsidRPr="00C621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этому показателю Беларусь (12 лет, столько же в 2015 году) делит с Российской Федерацией</w:t>
      </w:r>
      <w:r w:rsidRPr="00C621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1-е место в СНГ и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опережает ряд стран с очень высоким ИЧР (Австрия, Бельгия, Венгрия, Греция, Исландия, Испания, Италия, Лихтенштейн, Люксембург, Мальта, Португалия, Сингапур, Финляндия, Франция и Хорватия).</w:t>
      </w:r>
      <w:proofErr w:type="gram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сопредельных государств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нашу страну опережает лишь Литва (12,7 лет);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ожидаемая продолжительность обучения</w:t>
      </w:r>
      <w:r w:rsidRPr="00C6214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этому показателю Беларусь (15,7 лет, столько же в 2015 году) занимает 1-е место в СНГ и опережает Венгрию, Лихтенштейн, Мальту, Сингапур, Словакию, Хорватию и Японию. Ожидаемая продолжительность обучения в Беларуси меньше, чем в Латвии (16 лет), Литве (16,5 лет) и Польше (16,4 лет).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Наметилась тенденция по улучшению показателя ожидаемой продолжительности жизни при рождении. Наряду с этим разрыв между положительностью жизни мужчин и женщин продолжает оставаться критическим.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докладе содержится ряд оценочных показателей, которые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не влияют на определение рейтинга по ИЧР, однако дают дополнительную информацию для сравнительного анализа качества жизни населения в государствах-членах ООН.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рейтинге по индексу гендерного неравенства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4"/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находится на 32-м месте (31-е в 2015 году), что является лучшим показателем в СНГ и выше, чем у Венгрии, Новой Зеландии, Словакии и США. По этому показателю нас опережают Литва (25-е место) и Польша (30-е место).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индексу гендерного развития Беларусь относится к первой группе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5"/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 и занимает 5-е место в мире.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этому показателю нашу страну опережают Латвия, Литва, Монголия и Эстония.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Вместе с тем, имеется ряд индикаторов, по которым у Беларуси складывается негативная статистика. В частности, это касается показателей смертности взрослого населения (для женщин – 90 на 1000 человек, для мужчин – 261 на 1000 человек)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6"/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. Беларусь в десятке «лидеров» в мире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количеству самоубий</w:t>
      </w:r>
      <w:proofErr w:type="gramStart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ср</w:t>
      </w:r>
      <w:proofErr w:type="gramEnd"/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еди мужского населения с показателем 32,7 на 100 тыс. человек.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занимает 2-е место в СНГ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Европе (после России)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17-е место в мире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количеству заключенных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6214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306 на 100 тыс. человек).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207C1" w:rsidRPr="00C62143" w:rsidRDefault="00A207C1" w:rsidP="00A20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проведенного в 2015 году опроса институтом Гэллапа</w:t>
      </w:r>
      <w:r w:rsidRPr="00C6214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7"/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включенного в доклад по ИЧР, качеством образования в Беларуси удовлетворены 55%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,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здравоохранения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40%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,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уровнем жизни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47%,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качеством сохранения окружающей среды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–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51%, правительству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доверяют – 52%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,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судебной системе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46% </w:t>
      </w:r>
      <w:proofErr w:type="gramStart"/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опрошенных</w:t>
      </w:r>
      <w:proofErr w:type="gramEnd"/>
      <w:r w:rsidRPr="00C6214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207C1" w:rsidRPr="00C62143" w:rsidRDefault="00A207C1" w:rsidP="00A207C1">
      <w:pPr>
        <w:spacing w:after="0" w:line="280" w:lineRule="exact"/>
        <w:ind w:left="1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207C1" w:rsidRPr="00C62143" w:rsidRDefault="00A207C1" w:rsidP="00A207C1">
      <w:pPr>
        <w:spacing w:after="0" w:line="280" w:lineRule="exact"/>
        <w:ind w:left="1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Обзор </w:t>
      </w:r>
      <w:proofErr w:type="gramStart"/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суверенных</w:t>
      </w:r>
      <w:proofErr w:type="gramEnd"/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корпоративных </w:t>
      </w:r>
    </w:p>
    <w:p w:rsidR="00A207C1" w:rsidRPr="00C62143" w:rsidRDefault="00A207C1" w:rsidP="00A207C1">
      <w:pPr>
        <w:spacing w:after="0" w:line="280" w:lineRule="exact"/>
        <w:ind w:left="1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рейтингов, присвоенных ведущими </w:t>
      </w:r>
    </w:p>
    <w:p w:rsidR="00A207C1" w:rsidRPr="00C62143" w:rsidRDefault="00A207C1" w:rsidP="00A207C1">
      <w:pPr>
        <w:spacing w:after="0" w:line="280" w:lineRule="exact"/>
        <w:ind w:left="1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рейтинговыми агентствами  </w:t>
      </w:r>
    </w:p>
    <w:p w:rsidR="00A207C1" w:rsidRPr="00C62143" w:rsidRDefault="00A207C1" w:rsidP="00A207C1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07C1" w:rsidRPr="009A4A65" w:rsidRDefault="009A4A65" w:rsidP="009A4A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4A65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A207C1" w:rsidRPr="009A4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4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июля </w:t>
      </w:r>
      <w:r w:rsidR="00A207C1" w:rsidRPr="009A4A65">
        <w:rPr>
          <w:rFonts w:ascii="Times New Roman" w:eastAsia="Times New Roman" w:hAnsi="Times New Roman" w:cs="Times New Roman"/>
          <w:sz w:val="30"/>
          <w:szCs w:val="30"/>
          <w:lang w:eastAsia="ru-RU"/>
        </w:rPr>
        <w:t>2017 г.</w:t>
      </w:r>
      <w:r w:rsidRPr="009A4A65">
        <w:rPr>
          <w:rStyle w:val="newncpi"/>
          <w:rFonts w:ascii="Times New Roman" w:hAnsi="Times New Roman" w:cs="Times New Roman"/>
          <w:b/>
          <w:sz w:val="30"/>
          <w:szCs w:val="30"/>
        </w:rPr>
        <w:t xml:space="preserve"> </w:t>
      </w:r>
      <w:r w:rsidR="001E13B6" w:rsidRPr="009A4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Агентство </w:t>
      </w:r>
      <w:proofErr w:type="spellStart"/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>Fitch</w:t>
      </w:r>
      <w:proofErr w:type="spellEnd"/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 xml:space="preserve"> сохранило долгосрочные рейтинги дефолта эмитента Беларуси в иностранной и национальной валюте на уровне «B-»,</w:t>
      </w:r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30"/>
          <w:szCs w:val="30"/>
        </w:rPr>
        <w:t>изменив прогноз</w:t>
      </w:r>
      <w:r w:rsidRPr="009A4A65">
        <w:rPr>
          <w:rStyle w:val="a7"/>
          <w:rFonts w:ascii="Times New Roman" w:hAnsi="Times New Roman" w:cs="Times New Roman"/>
          <w:sz w:val="30"/>
          <w:szCs w:val="30"/>
        </w:rPr>
        <w:t xml:space="preserve"> </w:t>
      </w:r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 xml:space="preserve">на «позитивный» со «стабильного». </w:t>
      </w:r>
      <w:r w:rsidR="001E13B6">
        <w:rPr>
          <w:rStyle w:val="a7"/>
          <w:rFonts w:ascii="Times New Roman" w:hAnsi="Times New Roman" w:cs="Times New Roman"/>
          <w:b w:val="0"/>
          <w:sz w:val="30"/>
          <w:szCs w:val="30"/>
        </w:rPr>
        <w:t>К</w:t>
      </w:r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>раткосрочные рейтинги в иностранной и национальной валюте подтверждены на уровне «B», а </w:t>
      </w:r>
      <w:proofErr w:type="spellStart"/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>страновой</w:t>
      </w:r>
      <w:proofErr w:type="spellEnd"/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 xml:space="preserve"> потол</w:t>
      </w:r>
      <w:bookmarkStart w:id="0" w:name="_GoBack"/>
      <w:bookmarkEnd w:id="0"/>
      <w:r w:rsidRPr="009A4A65">
        <w:rPr>
          <w:rStyle w:val="a7"/>
          <w:rFonts w:ascii="Times New Roman" w:hAnsi="Times New Roman" w:cs="Times New Roman"/>
          <w:b w:val="0"/>
          <w:sz w:val="30"/>
          <w:szCs w:val="30"/>
        </w:rPr>
        <w:t>ок — на уровне «B-».</w:t>
      </w:r>
    </w:p>
    <w:p w:rsidR="00A207C1" w:rsidRPr="00C62143" w:rsidRDefault="00A207C1" w:rsidP="00A207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07C1" w:rsidRPr="00C62143" w:rsidRDefault="00A207C1" w:rsidP="00A207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>Агентство</w:t>
      </w:r>
      <w:r w:rsidRPr="00C62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Standard</w:t>
      </w:r>
      <w:proofErr w:type="spellEnd"/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&amp; </w:t>
      </w:r>
      <w:proofErr w:type="spellStart"/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Poor’s</w:t>
      </w:r>
      <w:proofErr w:type="spellEnd"/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30 марта 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2017 г.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подтвердило долгосрочные и краткосрочные рейтинги Беларуси на уровне «B-», прогноз – стабильный. </w:t>
      </w:r>
    </w:p>
    <w:p w:rsidR="00A207C1" w:rsidRPr="00C62143" w:rsidRDefault="00A207C1" w:rsidP="00A207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207C1" w:rsidRPr="00C62143" w:rsidRDefault="00A207C1" w:rsidP="00A207C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Агентство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Moody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’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s</w:t>
      </w:r>
      <w:r w:rsidRPr="00C621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 февраля 2017 </w:t>
      </w:r>
      <w:r w:rsidRPr="00C62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Pr="00C62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сохранило кредитный рейтинг Беларуси на уровне Caa1 с прогнозом «стабильный».</w:t>
      </w:r>
    </w:p>
    <w:p w:rsidR="00280F3F" w:rsidRDefault="00280F3F"/>
    <w:sectPr w:rsidR="0028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B4" w:rsidRDefault="002A35B4" w:rsidP="00A207C1">
      <w:pPr>
        <w:spacing w:after="0" w:line="240" w:lineRule="auto"/>
      </w:pPr>
      <w:r>
        <w:separator/>
      </w:r>
    </w:p>
  </w:endnote>
  <w:endnote w:type="continuationSeparator" w:id="0">
    <w:p w:rsidR="002A35B4" w:rsidRDefault="002A35B4" w:rsidP="00A2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B4" w:rsidRDefault="002A35B4" w:rsidP="00A207C1">
      <w:pPr>
        <w:spacing w:after="0" w:line="240" w:lineRule="auto"/>
      </w:pPr>
      <w:r>
        <w:separator/>
      </w:r>
    </w:p>
  </w:footnote>
  <w:footnote w:type="continuationSeparator" w:id="0">
    <w:p w:rsidR="002A35B4" w:rsidRDefault="002A35B4" w:rsidP="00A207C1">
      <w:pPr>
        <w:spacing w:after="0" w:line="240" w:lineRule="auto"/>
      </w:pPr>
      <w:r>
        <w:continuationSeparator/>
      </w:r>
    </w:p>
  </w:footnote>
  <w:footnote w:id="1">
    <w:p w:rsidR="00A207C1" w:rsidRPr="00C61A5C" w:rsidRDefault="00A207C1" w:rsidP="00A207C1">
      <w:pPr>
        <w:pStyle w:val="newncpi"/>
        <w:ind w:firstLine="720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C61A5C">
        <w:rPr>
          <w:sz w:val="20"/>
          <w:szCs w:val="20"/>
        </w:rPr>
        <w:t xml:space="preserve">Полный текст доклада размещен на </w:t>
      </w:r>
      <w:proofErr w:type="gramStart"/>
      <w:r w:rsidRPr="00C61A5C">
        <w:rPr>
          <w:sz w:val="20"/>
          <w:szCs w:val="20"/>
        </w:rPr>
        <w:t>интернет-портале</w:t>
      </w:r>
      <w:proofErr w:type="gramEnd"/>
      <w:r w:rsidRPr="00C61A5C">
        <w:rPr>
          <w:sz w:val="20"/>
          <w:szCs w:val="20"/>
        </w:rPr>
        <w:t xml:space="preserve"> Всемирного банка: </w:t>
      </w:r>
      <w:hyperlink r:id="rId1" w:history="1">
        <w:r w:rsidRPr="00C61A5C">
          <w:rPr>
            <w:rStyle w:val="a3"/>
            <w:sz w:val="20"/>
            <w:szCs w:val="20"/>
          </w:rPr>
          <w:t>http://www.worldbank.org/en/publication/global-economic-prospects</w:t>
        </w:r>
      </w:hyperlink>
    </w:p>
    <w:p w:rsidR="00A207C1" w:rsidRPr="00C61A5C" w:rsidRDefault="00A207C1" w:rsidP="00A207C1">
      <w:pPr>
        <w:pStyle w:val="newncpi"/>
        <w:ind w:firstLine="720"/>
        <w:rPr>
          <w:sz w:val="20"/>
          <w:szCs w:val="20"/>
        </w:rPr>
      </w:pPr>
      <w:r w:rsidRPr="00C61A5C">
        <w:rPr>
          <w:sz w:val="20"/>
          <w:szCs w:val="20"/>
        </w:rPr>
        <w:t>Материал информагентства «</w:t>
      </w:r>
      <w:proofErr w:type="spellStart"/>
      <w:r w:rsidRPr="00C61A5C">
        <w:rPr>
          <w:sz w:val="20"/>
          <w:szCs w:val="20"/>
        </w:rPr>
        <w:t>БелТА</w:t>
      </w:r>
      <w:proofErr w:type="spellEnd"/>
      <w:r w:rsidRPr="00C61A5C">
        <w:rPr>
          <w:sz w:val="20"/>
          <w:szCs w:val="20"/>
        </w:rPr>
        <w:t xml:space="preserve">» по докладу: </w:t>
      </w:r>
      <w:hyperlink r:id="rId2" w:history="1">
        <w:r w:rsidRPr="00C61A5C">
          <w:rPr>
            <w:rStyle w:val="a3"/>
            <w:sz w:val="20"/>
            <w:szCs w:val="20"/>
          </w:rPr>
          <w:t>http://m.belta.by/economics/view/vsemirnyj-bank-uluchshil-prognoz-po-belorusskoj-ekonomike-228031-2017/</w:t>
        </w:r>
      </w:hyperlink>
    </w:p>
    <w:p w:rsidR="00A207C1" w:rsidRDefault="00A207C1" w:rsidP="00A207C1">
      <w:pPr>
        <w:pStyle w:val="a4"/>
      </w:pPr>
    </w:p>
  </w:footnote>
  <w:footnote w:id="2">
    <w:p w:rsidR="00A207C1" w:rsidRDefault="00A207C1" w:rsidP="00A207C1">
      <w:pPr>
        <w:pStyle w:val="a4"/>
        <w:jc w:val="both"/>
      </w:pPr>
      <w:r>
        <w:rPr>
          <w:rStyle w:val="a6"/>
        </w:rPr>
        <w:footnoteRef/>
      </w:r>
      <w:r>
        <w:t xml:space="preserve"> Согласно докладу ПРООН за 2015 год Беларусь занимала 50-е место с ИЧР 0,798, за 2016 год - 52-место с ИРЧ 0,796.</w:t>
      </w:r>
    </w:p>
  </w:footnote>
  <w:footnote w:id="3">
    <w:p w:rsidR="00A207C1" w:rsidRDefault="00A207C1" w:rsidP="00A207C1">
      <w:pPr>
        <w:pStyle w:val="a4"/>
        <w:jc w:val="both"/>
      </w:pPr>
      <w:r>
        <w:rPr>
          <w:rStyle w:val="a6"/>
        </w:rPr>
        <w:footnoteRef/>
      </w:r>
      <w:r>
        <w:t xml:space="preserve"> В Казахстане</w:t>
      </w:r>
      <w:r w:rsidRPr="009022AC">
        <w:t xml:space="preserve"> </w:t>
      </w:r>
      <w:r>
        <w:t>ВНД за год вырос на 1226 долл. США, в России – на 934 долл. США.</w:t>
      </w:r>
    </w:p>
  </w:footnote>
  <w:footnote w:id="4">
    <w:p w:rsidR="00A207C1" w:rsidRDefault="00A207C1" w:rsidP="00A207C1">
      <w:pPr>
        <w:pStyle w:val="a4"/>
        <w:jc w:val="both"/>
      </w:pPr>
      <w:r>
        <w:rPr>
          <w:rStyle w:val="a6"/>
        </w:rPr>
        <w:footnoteRef/>
      </w:r>
      <w:r>
        <w:t xml:space="preserve"> Показатель, измеряющий неравенство достижений между женщинами и мужчинами по трем измерениям: репродуктивное здоровье, расширение прав и возможностей, доступ к рынку труда.</w:t>
      </w:r>
    </w:p>
  </w:footnote>
  <w:footnote w:id="5">
    <w:p w:rsidR="00A207C1" w:rsidRPr="006E1C73" w:rsidRDefault="00A207C1" w:rsidP="00A207C1">
      <w:pPr>
        <w:pStyle w:val="a4"/>
        <w:jc w:val="both"/>
      </w:pPr>
      <w:r>
        <w:rPr>
          <w:rStyle w:val="a6"/>
        </w:rPr>
        <w:footnoteRef/>
      </w:r>
      <w:r>
        <w:t xml:space="preserve"> С</w:t>
      </w:r>
      <w:r w:rsidRPr="006E1C73">
        <w:t>траны с высоким равенством в достижениях по индексу гендерного развития</w:t>
      </w:r>
      <w:r>
        <w:t>, рассчитываемого как отношение женского и мужского значений ИЧР.</w:t>
      </w:r>
    </w:p>
  </w:footnote>
  <w:footnote w:id="6">
    <w:p w:rsidR="00A207C1" w:rsidRDefault="00A207C1" w:rsidP="00A207C1">
      <w:pPr>
        <w:pStyle w:val="a4"/>
      </w:pPr>
      <w:r>
        <w:rPr>
          <w:rStyle w:val="a6"/>
        </w:rPr>
        <w:footnoteRef/>
      </w:r>
      <w:r>
        <w:t xml:space="preserve"> Используются статистические данные 2013 года.</w:t>
      </w:r>
    </w:p>
  </w:footnote>
  <w:footnote w:id="7">
    <w:p w:rsidR="00A207C1" w:rsidRDefault="00A207C1" w:rsidP="00A207C1">
      <w:pPr>
        <w:pStyle w:val="a4"/>
      </w:pPr>
      <w:r>
        <w:rPr>
          <w:rStyle w:val="a6"/>
        </w:rPr>
        <w:footnoteRef/>
      </w:r>
      <w:r>
        <w:t xml:space="preserve"> Информация об институте и его способах сбора и анализа данных: </w:t>
      </w:r>
      <w:r w:rsidRPr="0046018F">
        <w:t>http://www.gallup.com/178667/gallup-world-poll-work.aspx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1"/>
    <w:rsid w:val="001E13B6"/>
    <w:rsid w:val="00280F3F"/>
    <w:rsid w:val="002A35B4"/>
    <w:rsid w:val="009A4A65"/>
    <w:rsid w:val="00A207C1"/>
    <w:rsid w:val="00B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207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207C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20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A207C1"/>
    <w:rPr>
      <w:vertAlign w:val="superscript"/>
    </w:rPr>
  </w:style>
  <w:style w:type="character" w:styleId="a7">
    <w:name w:val="Strong"/>
    <w:basedOn w:val="a0"/>
    <w:uiPriority w:val="22"/>
    <w:qFormat/>
    <w:rsid w:val="009A4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207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207C1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A2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20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A207C1"/>
    <w:rPr>
      <w:vertAlign w:val="superscript"/>
    </w:rPr>
  </w:style>
  <w:style w:type="character" w:styleId="a7">
    <w:name w:val="Strong"/>
    <w:basedOn w:val="a0"/>
    <w:uiPriority w:val="22"/>
    <w:qFormat/>
    <w:rsid w:val="009A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.belta.by/economics/view/vsemirnyj-bank-uluchshil-prognoz-po-belorusskoj-ekonomike-228031-2017/" TargetMode="External"/><Relationship Id="rId1" Type="http://schemas.openxmlformats.org/officeDocument/2006/relationships/hyperlink" Target="http://www.worldbank.org/en/publication/global-economic-prosp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Diplomat7</dc:creator>
  <cp:lastModifiedBy>Diplomat7</cp:lastModifiedBy>
  <cp:revision>2</cp:revision>
  <dcterms:created xsi:type="dcterms:W3CDTF">2017-08-02T09:38:00Z</dcterms:created>
  <dcterms:modified xsi:type="dcterms:W3CDTF">2017-08-02T09:59:00Z</dcterms:modified>
</cp:coreProperties>
</file>